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 w:rsidR="00A9281D">
        <w:rPr>
          <w:rFonts w:ascii="TH SarabunIT๙" w:hAnsi="TH SarabunIT๙" w:cs="TH SarabunIT๙" w:hint="cs"/>
          <w:b/>
          <w:bCs/>
          <w:sz w:val="40"/>
          <w:szCs w:val="40"/>
          <w:cs/>
        </w:rPr>
        <w:t>ขอแปรญัตติ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7F12CC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F12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54E1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สภาองค์การบริหารส่วนจังหวัดสงขลา</w:t>
      </w:r>
      <w:bookmarkStart w:id="0" w:name="_GoBack"/>
      <w:bookmarkEnd w:id="0"/>
    </w:p>
    <w:p w:rsidR="003B7157" w:rsidRDefault="00D01879" w:rsidP="003B715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B7157"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A9281D" w:rsidRDefault="003B7157" w:rsidP="003B7157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1879"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D01879" w:rsidRP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4"/>
          <w:szCs w:val="44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660FCF">
        <w:rPr>
          <w:rFonts w:ascii="TH SarabunIT๙" w:hAnsi="TH SarabunIT๙" w:cs="TH SarabunIT๙" w:hint="cs"/>
          <w:sz w:val="32"/>
          <w:szCs w:val="32"/>
          <w:cs/>
        </w:rPr>
        <w:t xml:space="preserve">    นายกองค์การบริหารส่วนจังหวัดสงขลา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660FCF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60FCF" w:rsidRDefault="00660FCF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12CC" w:rsidRDefault="007F12CC" w:rsidP="007F12CC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12CC" w:rsidRDefault="007F12CC" w:rsidP="007F12CC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7F12CC" w:rsidRPr="00A9281D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F12CC" w:rsidRPr="00A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305BC8"/>
    <w:rsid w:val="00354E1E"/>
    <w:rsid w:val="003B7157"/>
    <w:rsid w:val="003F22E0"/>
    <w:rsid w:val="0057270D"/>
    <w:rsid w:val="00660FCF"/>
    <w:rsid w:val="007F12CC"/>
    <w:rsid w:val="008A7DF0"/>
    <w:rsid w:val="00A9281D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dcterms:created xsi:type="dcterms:W3CDTF">2020-03-18T04:39:00Z</dcterms:created>
  <dcterms:modified xsi:type="dcterms:W3CDTF">2021-01-19T05:30:00Z</dcterms:modified>
</cp:coreProperties>
</file>